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7D4269" w14:textId="1083EC16"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6A213B" w:rsidRPr="000665EA">
        <w:rPr>
          <w:rFonts w:cs="Arial"/>
          <w:bCs/>
          <w:noProof w:val="0"/>
          <w:sz w:val="24"/>
          <w:szCs w:val="24"/>
        </w:rPr>
        <w:t>1</w:t>
      </w:r>
      <w:r w:rsidR="00D20DF3">
        <w:rPr>
          <w:rFonts w:cs="Arial"/>
          <w:bCs/>
          <w:noProof w:val="0"/>
          <w:sz w:val="24"/>
          <w:szCs w:val="24"/>
        </w:rPr>
        <w:t>2</w:t>
      </w:r>
      <w:r w:rsidR="00044AC7" w:rsidRPr="000665EA">
        <w:rPr>
          <w:rFonts w:cs="Arial"/>
          <w:bCs/>
          <w:noProof w:val="0"/>
          <w:sz w:val="24"/>
          <w:szCs w:val="24"/>
        </w:rPr>
        <w:t>-e</w:t>
      </w:r>
      <w:r w:rsidR="002C1220" w:rsidRPr="000665EA">
        <w:rPr>
          <w:rFonts w:cs="Arial"/>
          <w:bCs/>
          <w:noProof w:val="0"/>
          <w:sz w:val="24"/>
          <w:szCs w:val="24"/>
        </w:rPr>
        <w:tab/>
        <w:t>R3-</w:t>
      </w:r>
      <w:r w:rsidR="00FA4A45" w:rsidRPr="000665EA">
        <w:rPr>
          <w:rFonts w:cs="Arial"/>
          <w:bCs/>
          <w:noProof w:val="0"/>
          <w:sz w:val="24"/>
          <w:szCs w:val="24"/>
        </w:rPr>
        <w:t>2</w:t>
      </w:r>
      <w:r w:rsidR="00F36DA6" w:rsidRPr="000665EA">
        <w:rPr>
          <w:rFonts w:cs="Arial"/>
          <w:bCs/>
          <w:noProof w:val="0"/>
          <w:sz w:val="24"/>
          <w:szCs w:val="24"/>
        </w:rPr>
        <w:t>1</w:t>
      </w:r>
      <w:r w:rsidR="00F259CF">
        <w:rPr>
          <w:rFonts w:cs="Arial"/>
          <w:bCs/>
          <w:noProof w:val="0"/>
          <w:sz w:val="24"/>
          <w:szCs w:val="24"/>
        </w:rPr>
        <w:t>1517</w:t>
      </w:r>
    </w:p>
    <w:bookmarkEnd w:id="0"/>
    <w:p w14:paraId="5669B020" w14:textId="627564E7" w:rsidR="004C654E" w:rsidRPr="000665EA" w:rsidRDefault="00044AC7" w:rsidP="004C654E">
      <w:pPr>
        <w:pStyle w:val="Header"/>
        <w:tabs>
          <w:tab w:val="left" w:pos="2410"/>
        </w:tabs>
        <w:rPr>
          <w:rFonts w:eastAsia="MS Mincho" w:cs="Arial"/>
          <w:sz w:val="24"/>
          <w:szCs w:val="24"/>
        </w:rPr>
      </w:pPr>
      <w:r w:rsidRPr="000665EA">
        <w:rPr>
          <w:rFonts w:eastAsia="MS Mincho" w:cs="Arial"/>
          <w:sz w:val="24"/>
          <w:szCs w:val="24"/>
        </w:rPr>
        <w:t>E-meeting</w:t>
      </w:r>
      <w:r w:rsidR="00FC5FE8" w:rsidRPr="000665EA">
        <w:rPr>
          <w:rFonts w:eastAsia="MS Mincho" w:cs="Arial"/>
          <w:sz w:val="24"/>
          <w:szCs w:val="24"/>
        </w:rPr>
        <w:t xml:space="preserve">, </w:t>
      </w:r>
      <w:r w:rsidR="00D20DF3">
        <w:rPr>
          <w:rFonts w:eastAsia="MS Mincho" w:cs="Arial"/>
          <w:sz w:val="24"/>
          <w:szCs w:val="24"/>
        </w:rPr>
        <w:t>17</w:t>
      </w:r>
      <w:r w:rsidR="00F36DA6" w:rsidRPr="000665EA">
        <w:rPr>
          <w:rFonts w:eastAsia="MS Mincho" w:cs="Arial"/>
          <w:sz w:val="24"/>
          <w:szCs w:val="24"/>
        </w:rPr>
        <w:t xml:space="preserve"> – </w:t>
      </w:r>
      <w:r w:rsidR="00D20DF3">
        <w:rPr>
          <w:rFonts w:eastAsia="MS Mincho" w:cs="Arial"/>
          <w:sz w:val="24"/>
          <w:szCs w:val="24"/>
        </w:rPr>
        <w:t>28</w:t>
      </w:r>
      <w:r w:rsidR="00F36DA6" w:rsidRPr="000665EA">
        <w:rPr>
          <w:rFonts w:eastAsia="MS Mincho" w:cs="Arial"/>
          <w:sz w:val="24"/>
          <w:szCs w:val="24"/>
        </w:rPr>
        <w:t xml:space="preserve"> </w:t>
      </w:r>
      <w:r w:rsidR="00D20DF3">
        <w:rPr>
          <w:rFonts w:eastAsia="MS Mincho" w:cs="Arial"/>
          <w:sz w:val="24"/>
          <w:szCs w:val="24"/>
        </w:rPr>
        <w:t>May</w:t>
      </w:r>
      <w:r w:rsidR="005F10C3" w:rsidRPr="000665EA">
        <w:rPr>
          <w:rFonts w:eastAsia="MS Mincho" w:cs="Arial"/>
          <w:sz w:val="24"/>
          <w:szCs w:val="24"/>
        </w:rPr>
        <w:t xml:space="preserve"> 20</w:t>
      </w:r>
      <w:r w:rsidR="00FA4A45" w:rsidRPr="000665EA">
        <w:rPr>
          <w:rFonts w:eastAsia="MS Mincho" w:cs="Arial"/>
          <w:sz w:val="24"/>
          <w:szCs w:val="24"/>
        </w:rPr>
        <w:t>2</w:t>
      </w:r>
      <w:r w:rsidR="00F36DA6" w:rsidRPr="000665EA">
        <w:rPr>
          <w:rFonts w:eastAsia="MS Mincho" w:cs="Arial"/>
          <w:sz w:val="24"/>
          <w:szCs w:val="24"/>
        </w:rPr>
        <w:t>1</w:t>
      </w:r>
    </w:p>
    <w:p w14:paraId="2F96B0BD" w14:textId="77777777" w:rsidR="002F2360" w:rsidRPr="000665EA" w:rsidRDefault="002F2360" w:rsidP="002F2360">
      <w:pPr>
        <w:pStyle w:val="Header"/>
        <w:tabs>
          <w:tab w:val="left" w:pos="2410"/>
        </w:tabs>
        <w:rPr>
          <w:bCs/>
          <w:noProof w:val="0"/>
          <w:sz w:val="24"/>
        </w:rPr>
      </w:pPr>
    </w:p>
    <w:p w14:paraId="430718D4" w14:textId="52F48369"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F259CF">
        <w:rPr>
          <w:rFonts w:cs="Arial"/>
          <w:b/>
          <w:bCs/>
          <w:sz w:val="24"/>
        </w:rPr>
        <w:t>8.1</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15F41C28"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1B05EF">
        <w:rPr>
          <w:rFonts w:ascii="Arial" w:hAnsi="Arial" w:cs="Arial"/>
          <w:b/>
          <w:bCs/>
          <w:sz w:val="24"/>
        </w:rPr>
        <w:t>Discussion on the possible impacts of a CHO with MR-DC operation</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4CAD8B08" w14:textId="69F64152" w:rsidR="005E3D0F" w:rsidRPr="000665EA" w:rsidRDefault="001B05EF" w:rsidP="008572DC">
      <w:bookmarkStart w:id="1" w:name="_Toc474247438"/>
      <w:r>
        <w:t>At RAN2 meeting #113-bis, an LS to RAN3 was sent [1] to ask for checking if a Rel.16 RAN2 assumption is correct. According to the LS, RAN2 has decided to allow to prepare a CHO for a UE that is configured in MR-DC mode. RAN2 has assumed this will work without any changes in RAN3 specification, but now, RAN2 grew unsure about it and asks RAN3 for checking the situation. In this document, we analyse it and propose further steps.</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57039105" w14:textId="2F44E835" w:rsidR="008559D6" w:rsidRDefault="00774EDF" w:rsidP="00774EDF">
      <w:pPr>
        <w:pStyle w:val="Heading2"/>
      </w:pPr>
      <w:r>
        <w:t>2.1</w:t>
      </w:r>
      <w:r>
        <w:tab/>
        <w:t>Description of the procedure and impacts</w:t>
      </w:r>
    </w:p>
    <w:p w14:paraId="018CFAAC" w14:textId="153D35DE" w:rsidR="00774EDF" w:rsidRDefault="002558DE" w:rsidP="00774EDF">
      <w:r>
        <w:t>RAN2 assumes that</w:t>
      </w:r>
      <w:r w:rsidR="00AD0509">
        <w:t xml:space="preserve"> a conditional configuration may contain also SCG part. In this case, the whole reconfiguration is executed when the </w:t>
      </w:r>
      <w:r w:rsidR="00C960C8">
        <w:t xml:space="preserve">CHO execution </w:t>
      </w:r>
      <w:r w:rsidR="00AD0509">
        <w:t>condition is met. In other words, when the condition to execute CHO is met, the UE will attempt accessing the MCG and the SCG resources.</w:t>
      </w:r>
    </w:p>
    <w:p w14:paraId="57E6398D" w14:textId="39C50BDC" w:rsidR="00AD0509" w:rsidRDefault="00AD0509" w:rsidP="00774EDF">
      <w:r>
        <w:t>On the other hand, the HO procedure is about-the-same as in case of a classic HO: the target node, when receiving the CHO request, may decide to add the SCG resources. If decided so, the addition is executed right away, at the moment the CHO is prepared.</w:t>
      </w:r>
    </w:p>
    <w:p w14:paraId="7AF43D6E" w14:textId="43B11F35" w:rsidR="00AD0509" w:rsidRPr="007270B3" w:rsidRDefault="00AD0509" w:rsidP="00774EDF">
      <w:pPr>
        <w:rPr>
          <w:b/>
          <w:bCs/>
        </w:rPr>
      </w:pPr>
      <w:r w:rsidRPr="007270B3">
        <w:rPr>
          <w:b/>
          <w:bCs/>
        </w:rPr>
        <w:t xml:space="preserve">Observation 1: The addition procedure related to the CHO is exactly the same as in case of a classic HO. Therefore, the SN can’t tell </w:t>
      </w:r>
      <w:r w:rsidR="003C4EEA">
        <w:rPr>
          <w:b/>
          <w:bCs/>
        </w:rPr>
        <w:t xml:space="preserve">a </w:t>
      </w:r>
      <w:r w:rsidRPr="007270B3">
        <w:rPr>
          <w:b/>
          <w:bCs/>
        </w:rPr>
        <w:t>CHO-related addition from an addition related to a classic HO.</w:t>
      </w:r>
    </w:p>
    <w:p w14:paraId="02771C1C" w14:textId="58612958" w:rsidR="00AD0509" w:rsidRDefault="00AD0509" w:rsidP="00774EDF">
      <w:r>
        <w:t>On the other hand, CHO and a classic HO are different in many aspects:</w:t>
      </w:r>
    </w:p>
    <w:p w14:paraId="227BF208" w14:textId="306457F9" w:rsidR="00AD0509" w:rsidRDefault="00AD0509" w:rsidP="007270B3">
      <w:pPr>
        <w:pStyle w:val="ListParagraph"/>
        <w:numPr>
          <w:ilvl w:val="0"/>
          <w:numId w:val="40"/>
        </w:numPr>
      </w:pPr>
      <w:r>
        <w:t xml:space="preserve">In case of CHO, the waiting time for the UE to </w:t>
      </w:r>
      <w:r w:rsidR="00455482">
        <w:t xml:space="preserve">a </w:t>
      </w:r>
      <w:r>
        <w:t>access prepared cell may be much longer than in the case of a classic HO</w:t>
      </w:r>
      <w:r w:rsidR="007270B3">
        <w:t>.</w:t>
      </w:r>
    </w:p>
    <w:p w14:paraId="03828BAE" w14:textId="786F2A94" w:rsidR="007270B3" w:rsidRDefault="007270B3" w:rsidP="007270B3">
      <w:pPr>
        <w:pStyle w:val="ListParagraph"/>
        <w:numPr>
          <w:ilvl w:val="0"/>
          <w:numId w:val="40"/>
        </w:numPr>
      </w:pPr>
      <w:r>
        <w:t>Over this waiting time, the situation may change and thus modification or cancellation of the preparation is enabled.</w:t>
      </w:r>
    </w:p>
    <w:p w14:paraId="0E9347AB" w14:textId="3959490B" w:rsidR="00AD0509" w:rsidRDefault="00AD0509" w:rsidP="007270B3">
      <w:pPr>
        <w:pStyle w:val="ListParagraph"/>
        <w:numPr>
          <w:ilvl w:val="0"/>
          <w:numId w:val="40"/>
        </w:numPr>
      </w:pPr>
      <w:r>
        <w:t>In case of CHO</w:t>
      </w:r>
      <w:r w:rsidR="007270B3">
        <w:t xml:space="preserve">, it is likely that multiple cells will be prepared, possibly in multiple target nodes, </w:t>
      </w:r>
      <w:r w:rsidR="000733C6">
        <w:t xml:space="preserve">and for </w:t>
      </w:r>
      <w:r w:rsidR="007270B3">
        <w:t xml:space="preserve">each CHO preparation </w:t>
      </w:r>
      <w:r w:rsidR="000733C6">
        <w:t>an</w:t>
      </w:r>
      <w:r w:rsidR="007270B3">
        <w:t xml:space="preserve"> SCG configuration</w:t>
      </w:r>
      <w:r w:rsidR="000733C6">
        <w:t xml:space="preserve"> might be prepared as well</w:t>
      </w:r>
      <w:r w:rsidR="007270B3">
        <w:t>.</w:t>
      </w:r>
    </w:p>
    <w:p w14:paraId="1E389184" w14:textId="268E68CE" w:rsidR="007270B3" w:rsidRDefault="007270B3" w:rsidP="007270B3">
      <w:pPr>
        <w:pStyle w:val="ListParagraph"/>
        <w:numPr>
          <w:ilvl w:val="0"/>
          <w:numId w:val="40"/>
        </w:numPr>
      </w:pPr>
      <w:r>
        <w:t>Because of the likely multiple preparation</w:t>
      </w:r>
      <w:r w:rsidR="00A86176">
        <w:t xml:space="preserve"> and the longer waiting time, resource allocation per a CHO</w:t>
      </w:r>
      <w:r w:rsidR="003C4EEA">
        <w:t xml:space="preserve"> preparation</w:t>
      </w:r>
      <w:r w:rsidR="00A86176">
        <w:t xml:space="preserve"> is likely to be much higher than in the case of a classic HO.</w:t>
      </w:r>
    </w:p>
    <w:p w14:paraId="3A56897F" w14:textId="395AD897" w:rsidR="007270B3" w:rsidRDefault="007270B3" w:rsidP="00774EDF">
      <w:r>
        <w:t>All of those differences and resulting special signalling to handle them is available for the MN, but not for the SN.</w:t>
      </w:r>
      <w:r w:rsidR="00A27950">
        <w:t xml:space="preserve"> On the other hand, they do apply to the SCG side equally as to the MCG side.</w:t>
      </w:r>
    </w:p>
    <w:p w14:paraId="6D33EDF9" w14:textId="44363BED" w:rsidR="00A34DD9" w:rsidRPr="006362DB" w:rsidRDefault="00A34DD9" w:rsidP="00774EDF">
      <w:pPr>
        <w:rPr>
          <w:b/>
          <w:bCs/>
        </w:rPr>
      </w:pPr>
      <w:r w:rsidRPr="006362DB">
        <w:rPr>
          <w:b/>
          <w:bCs/>
        </w:rPr>
        <w:t>Observation 2: All of the special features of CHO that were addressed with the signalling are equally applicable to SCG side.</w:t>
      </w:r>
    </w:p>
    <w:p w14:paraId="424E5183" w14:textId="3153FA1F" w:rsidR="0044578D" w:rsidRDefault="0044578D" w:rsidP="00774EDF">
      <w:r>
        <w:t xml:space="preserve">We may briefly consider the consequences if nothing is changed: the most </w:t>
      </w:r>
      <w:r w:rsidR="00110E3E">
        <w:t xml:space="preserve">critical </w:t>
      </w:r>
      <w:r>
        <w:t xml:space="preserve">is the fact that the SN, after having prepared SCG for UE’s arrival, may conclude the access has failed (if some timer expires). This will likely result with the SN-initiated release that the MN can’t refuse. Once the SCG part of the conditional reconfiguration becomes </w:t>
      </w:r>
      <w:r>
        <w:lastRenderedPageBreak/>
        <w:t xml:space="preserve">invalid, the target SN should modify the CHO – but it can’t, the only option is to cancel it altogether. Therefore, an attempt to prepare a CHO with SCG part may lead to complete CHO blockage. </w:t>
      </w:r>
    </w:p>
    <w:p w14:paraId="6ED4E60F" w14:textId="05802EB7" w:rsidR="00CD1E00" w:rsidRPr="006D2CB6" w:rsidRDefault="00CD1E00" w:rsidP="00CD1E00">
      <w:pPr>
        <w:rPr>
          <w:b/>
          <w:bCs/>
        </w:rPr>
      </w:pPr>
      <w:r w:rsidRPr="006D2CB6">
        <w:rPr>
          <w:b/>
          <w:bCs/>
        </w:rPr>
        <w:t>Observation 3: Lack of any special handling of CHO-related Addition may, depending on the implementation, block the CHO on the MCG side, too!</w:t>
      </w:r>
    </w:p>
    <w:p w14:paraId="056F06AC" w14:textId="4F6A6C86" w:rsidR="0044578D" w:rsidRDefault="0044578D" w:rsidP="00774EDF">
      <w:r>
        <w:t>The other problem is related to allocated resources: without any special signalling, the SN will not be able to tell each coming Addition as belonging to the same UE (particularly in scenario 2 from the LS). This will lead to a severe resource over-provisioning, especially if the CHO is used extensively (and it may be – there are ways to optimise resource allocation in the MN for CHO).</w:t>
      </w:r>
      <w:r w:rsidR="00F14723">
        <w:t xml:space="preserve"> And again, it may jeopardise the CHO, though here only at the SCG side: when the SN receives several addition requests, not aware they concern the same UE, may run short of resources and start rejecting requests.</w:t>
      </w:r>
    </w:p>
    <w:p w14:paraId="6FA5D361" w14:textId="10F56561" w:rsidR="00A34DD9" w:rsidRPr="006D2CB6" w:rsidRDefault="0044578D" w:rsidP="00774EDF">
      <w:pPr>
        <w:rPr>
          <w:b/>
          <w:bCs/>
        </w:rPr>
      </w:pPr>
      <w:r w:rsidRPr="006D2CB6">
        <w:rPr>
          <w:b/>
          <w:bCs/>
        </w:rPr>
        <w:t xml:space="preserve">Proposal 1: RAN3 shall acknowledge that </w:t>
      </w:r>
      <w:r w:rsidR="006D2CB6" w:rsidRPr="006D2CB6">
        <w:rPr>
          <w:b/>
          <w:bCs/>
        </w:rPr>
        <w:t>enabling the scenarios listed in the LS requires changes in RAN3 signalling. This means that RAN3 shall conclude that with the current signalling, CHO with MR-DC will not work.</w:t>
      </w:r>
    </w:p>
    <w:p w14:paraId="3A08CBFF" w14:textId="10787A87" w:rsidR="006D2CB6" w:rsidRDefault="00F92F13" w:rsidP="00774EDF">
      <w:r>
        <w:t>Of course, there is a question: what to do next? There are two options:</w:t>
      </w:r>
    </w:p>
    <w:p w14:paraId="7901568B" w14:textId="6A8F21E1" w:rsidR="00F92F13" w:rsidRDefault="00F92F13" w:rsidP="00F92F13">
      <w:pPr>
        <w:pStyle w:val="ListParagraph"/>
        <w:numPr>
          <w:ilvl w:val="0"/>
          <w:numId w:val="41"/>
        </w:numPr>
      </w:pPr>
      <w:r>
        <w:t>RAN3 informs RAN2 that in Rel.16 the CHO can’t be used with SCG part. It may possibly be enabled as part of TEI17 work.</w:t>
      </w:r>
    </w:p>
    <w:p w14:paraId="73E67122" w14:textId="530FCEC4" w:rsidR="00F92F13" w:rsidRDefault="00F92F13" w:rsidP="00F92F13">
      <w:pPr>
        <w:pStyle w:val="ListParagraph"/>
        <w:numPr>
          <w:ilvl w:val="0"/>
          <w:numId w:val="41"/>
        </w:numPr>
      </w:pPr>
      <w:r>
        <w:t>RAN3 attempts to introduce some minimal set of the mechanisms to enable CHO with SCG part in Rel.16.</w:t>
      </w:r>
    </w:p>
    <w:p w14:paraId="21EA376E" w14:textId="7DAF49E7" w:rsidR="00913BDE" w:rsidRDefault="00913BDE" w:rsidP="00913BDE">
      <w:r>
        <w:t xml:space="preserve">If RAN3 selects option 1, it will practically mean </w:t>
      </w:r>
      <w:r w:rsidR="00982E3E">
        <w:t>that the</w:t>
      </w:r>
      <w:r>
        <w:t xml:space="preserve"> feature must be removed from Rel.16. It seem</w:t>
      </w:r>
      <w:r w:rsidR="00982E3E">
        <w:t>s</w:t>
      </w:r>
      <w:r>
        <w:t xml:space="preserve"> therefore only reasonable to see how much effort is required</w:t>
      </w:r>
      <w:r w:rsidR="002E3EF1">
        <w:t xml:space="preserve"> on RAN3 side to enable </w:t>
      </w:r>
      <w:r>
        <w:t>the CHO with MR-DC</w:t>
      </w:r>
      <w:r w:rsidR="002E3EF1">
        <w:t xml:space="preserve"> yet in Rel.16</w:t>
      </w:r>
      <w:r>
        <w:t>.</w:t>
      </w:r>
    </w:p>
    <w:p w14:paraId="567331AD" w14:textId="1ED29E31" w:rsidR="002E3EF1" w:rsidRPr="002E3EF1" w:rsidRDefault="002E3EF1" w:rsidP="00913BDE">
      <w:pPr>
        <w:rPr>
          <w:b/>
          <w:bCs/>
        </w:rPr>
      </w:pPr>
      <w:r w:rsidRPr="002E3EF1">
        <w:rPr>
          <w:b/>
          <w:bCs/>
        </w:rPr>
        <w:t>Proposal 2: RAN3 shall consider if the support for CHO with MR-DC in RAN3’s specification could perhaps be enabled yet in Rel.16.</w:t>
      </w:r>
    </w:p>
    <w:p w14:paraId="110B92D9" w14:textId="065D606F" w:rsidR="002E3EF1" w:rsidRDefault="002E3EF1" w:rsidP="002E3EF1">
      <w:pPr>
        <w:pStyle w:val="Heading2"/>
      </w:pPr>
      <w:r>
        <w:t>2.2</w:t>
      </w:r>
      <w:r>
        <w:tab/>
        <w:t>Possible solution</w:t>
      </w:r>
      <w:r w:rsidR="005F7329">
        <w:t>s</w:t>
      </w:r>
    </w:p>
    <w:p w14:paraId="1A27B2DA" w14:textId="0F3CB761" w:rsidR="007C5A5D" w:rsidRDefault="00902197" w:rsidP="007C5A5D">
      <w:r>
        <w:t>There are two problems to tackle:</w:t>
      </w:r>
    </w:p>
    <w:p w14:paraId="2753BA30" w14:textId="561E5E34" w:rsidR="00902197" w:rsidRDefault="00902197" w:rsidP="00902197">
      <w:pPr>
        <w:pStyle w:val="ListParagraph"/>
        <w:numPr>
          <w:ilvl w:val="0"/>
          <w:numId w:val="42"/>
        </w:numPr>
      </w:pPr>
      <w:r>
        <w:t xml:space="preserve">Making the SN aware of the conditional aspect of the addition and thus </w:t>
      </w:r>
      <w:r w:rsidR="00A21EFA">
        <w:t xml:space="preserve">a </w:t>
      </w:r>
      <w:r>
        <w:t>possibly delayed arrival</w:t>
      </w:r>
      <w:r w:rsidR="00A21EFA">
        <w:t xml:space="preserve"> of the UE</w:t>
      </w:r>
      <w:r>
        <w:t xml:space="preserve">. </w:t>
      </w:r>
      <w:r w:rsidR="00381D50">
        <w:br/>
      </w:r>
      <w:r w:rsidR="00381D50">
        <w:sym w:font="Wingdings" w:char="F0E0"/>
      </w:r>
      <w:r w:rsidR="00381D50">
        <w:t xml:space="preserve"> </w:t>
      </w:r>
      <w:r>
        <w:t>Thanks to this, the premature SN-initiated release can be avoided.</w:t>
      </w:r>
    </w:p>
    <w:p w14:paraId="5DC2F575" w14:textId="3CD9795A" w:rsidR="00902197" w:rsidRDefault="00902197" w:rsidP="00902197">
      <w:pPr>
        <w:pStyle w:val="ListParagraph"/>
        <w:numPr>
          <w:ilvl w:val="0"/>
          <w:numId w:val="42"/>
        </w:numPr>
      </w:pPr>
      <w:r>
        <w:t>Possibly, making the SN aware which additions are related to the same CHO preparation</w:t>
      </w:r>
      <w:r w:rsidR="00381D50">
        <w:t>.</w:t>
      </w:r>
      <w:r w:rsidR="00381D50">
        <w:br/>
      </w:r>
      <w:r w:rsidR="00381D50">
        <w:sym w:font="Wingdings" w:char="F0E0"/>
      </w:r>
      <w:r w:rsidR="00381D50">
        <w:t xml:space="preserve"> With this,</w:t>
      </w:r>
      <w:r>
        <w:t xml:space="preserve"> it can optimize resource allocation (and thus avoid rejections of additions when the SN assumes all resources are taken).</w:t>
      </w:r>
    </w:p>
    <w:p w14:paraId="7825DDF2" w14:textId="7E98C822" w:rsidR="00002862" w:rsidRDefault="00874245" w:rsidP="00002862">
      <w:r>
        <w:t>The 1</w:t>
      </w:r>
      <w:r w:rsidRPr="00874245">
        <w:rPr>
          <w:vertAlign w:val="superscript"/>
        </w:rPr>
        <w:t>st</w:t>
      </w:r>
      <w:r>
        <w:t xml:space="preserve"> solution will be very easy to enable: a simple flag is needed to inform the SN </w:t>
      </w:r>
      <w:r w:rsidR="007308E7">
        <w:t xml:space="preserve">that </w:t>
      </w:r>
      <w:r>
        <w:t>the Addition is related to a conditional (delayed) preparation. But before we propose the flag to be used, we would like to compare the situation related to the CHO with MR-DC and the CPA, which is being developed in another WI in Rel.17. The most critical feature, i.e. late arrival of the UE, if ever, is the same in both cases. Therefore, the basic flag considered for CHO-related Addition may be defined so that it can be reused for CPA.</w:t>
      </w:r>
    </w:p>
    <w:p w14:paraId="0EEC9357" w14:textId="3DB3F1CC" w:rsidR="00874245" w:rsidRPr="00273C00" w:rsidRDefault="00874245" w:rsidP="00002862">
      <w:pPr>
        <w:rPr>
          <w:b/>
          <w:bCs/>
        </w:rPr>
      </w:pPr>
      <w:r w:rsidRPr="00273C00">
        <w:rPr>
          <w:b/>
          <w:bCs/>
        </w:rPr>
        <w:t xml:space="preserve">Proposal 3: A flag is added in the Addition Request to indicate the addition is related to a conditional </w:t>
      </w:r>
      <w:r w:rsidR="005F7329" w:rsidRPr="00273C00">
        <w:rPr>
          <w:b/>
          <w:bCs/>
        </w:rPr>
        <w:t>access. The flag shall be defined so that it can be reused for CPA in Rel.17.</w:t>
      </w:r>
    </w:p>
    <w:p w14:paraId="57E866C2" w14:textId="0FFBA9AB" w:rsidR="00AB1057" w:rsidRDefault="005F7329" w:rsidP="00002862">
      <w:r>
        <w:t>The 2</w:t>
      </w:r>
      <w:r w:rsidRPr="005F7329">
        <w:rPr>
          <w:vertAlign w:val="superscript"/>
        </w:rPr>
        <w:t>nd</w:t>
      </w:r>
      <w:r>
        <w:t xml:space="preserve"> solution is less straightforward. </w:t>
      </w:r>
      <w:r w:rsidR="00AB1057">
        <w:t xml:space="preserve">At a basic level, it can be helped </w:t>
      </w:r>
      <w:r w:rsidR="003C4EEA">
        <w:t>with</w:t>
      </w:r>
      <w:r w:rsidR="00AB1057">
        <w:t xml:space="preserve"> the arrival probability, as defined for CHO. The target MN could simply rely the information received from the source MN – since the SCG access is executed when the main CHO condition is met, the probability of SCG access is the same as for the CHO.</w:t>
      </w:r>
    </w:p>
    <w:p w14:paraId="78CC486E" w14:textId="29A5C2FA" w:rsidR="004D79C4" w:rsidRPr="00273C00" w:rsidRDefault="004D79C4" w:rsidP="004D79C4">
      <w:pPr>
        <w:rPr>
          <w:b/>
          <w:bCs/>
        </w:rPr>
      </w:pPr>
      <w:r w:rsidRPr="00273C00">
        <w:rPr>
          <w:b/>
          <w:bCs/>
        </w:rPr>
        <w:t xml:space="preserve">Proposal </w:t>
      </w:r>
      <w:r>
        <w:rPr>
          <w:b/>
          <w:bCs/>
        </w:rPr>
        <w:t>4</w:t>
      </w:r>
      <w:r w:rsidRPr="00273C00">
        <w:rPr>
          <w:b/>
          <w:bCs/>
        </w:rPr>
        <w:t xml:space="preserve">: </w:t>
      </w:r>
      <w:r>
        <w:rPr>
          <w:b/>
          <w:bCs/>
        </w:rPr>
        <w:t>The arrival probability is defined also for the Addition Request and the target MN is obliged to rely the information received from the source MN.</w:t>
      </w:r>
    </w:p>
    <w:p w14:paraId="3B4FFB02" w14:textId="15C5ACB8" w:rsidR="005F7329" w:rsidRDefault="004D79C4" w:rsidP="00002862">
      <w:r>
        <w:t>However, i</w:t>
      </w:r>
      <w:r w:rsidR="005F7329">
        <w:t xml:space="preserve">n order to enable identification of the requests as coming from the same UE, some form of the identification of the UE is needed. For addition requests coming from a single target MN, that MN may assign the identification (e.g. a random number). However, in case the addition requests to the same target SN come from different target MNs, the situation gets complicated: the only common point where the identification could be defined is either the UE itself, or the source MN, or possibly the source SN (if configured). </w:t>
      </w:r>
      <w:r w:rsidR="00273C00">
        <w:t>One may therefore consider:</w:t>
      </w:r>
    </w:p>
    <w:p w14:paraId="1BCC5415" w14:textId="40629A3F" w:rsidR="00273C00" w:rsidRDefault="00273C00" w:rsidP="00273C00">
      <w:pPr>
        <w:pStyle w:val="ListParagraph"/>
        <w:numPr>
          <w:ilvl w:val="0"/>
          <w:numId w:val="40"/>
        </w:numPr>
      </w:pPr>
      <w:r>
        <w:t>Adding a random number allocated at the source MN; or</w:t>
      </w:r>
    </w:p>
    <w:p w14:paraId="6BDB6D73" w14:textId="4984BA77" w:rsidR="00273C00" w:rsidRDefault="00273C00" w:rsidP="00273C00">
      <w:pPr>
        <w:pStyle w:val="ListParagraph"/>
        <w:numPr>
          <w:ilvl w:val="0"/>
          <w:numId w:val="40"/>
        </w:numPr>
      </w:pPr>
      <w:r>
        <w:t>Adding a combination of the source MN’s ID and the UE ID used in the source MN; or</w:t>
      </w:r>
    </w:p>
    <w:p w14:paraId="4175CD57" w14:textId="59E0A9B5" w:rsidR="00273C00" w:rsidRDefault="00273C00" w:rsidP="00273C00">
      <w:pPr>
        <w:pStyle w:val="ListParagraph"/>
        <w:numPr>
          <w:ilvl w:val="0"/>
          <w:numId w:val="40"/>
        </w:numPr>
      </w:pPr>
      <w:r>
        <w:t>Reusing the source SN’s UE ID and adding the source SN’s ID.</w:t>
      </w:r>
    </w:p>
    <w:p w14:paraId="4D1C63B5" w14:textId="40A4C101" w:rsidR="005F7329" w:rsidRPr="00273C00" w:rsidRDefault="00273C00" w:rsidP="00002862">
      <w:pPr>
        <w:rPr>
          <w:b/>
          <w:bCs/>
        </w:rPr>
      </w:pPr>
      <w:r w:rsidRPr="00273C00">
        <w:rPr>
          <w:b/>
          <w:bCs/>
        </w:rPr>
        <w:lastRenderedPageBreak/>
        <w:t xml:space="preserve">Proposal </w:t>
      </w:r>
      <w:r w:rsidR="004D79C4">
        <w:rPr>
          <w:b/>
          <w:bCs/>
        </w:rPr>
        <w:t>5</w:t>
      </w:r>
      <w:r w:rsidRPr="00273C00">
        <w:rPr>
          <w:b/>
          <w:bCs/>
        </w:rPr>
        <w:t>: RAN3 shall discuss which if the three options above is the best to enable the target SN to optimise resource allocation.</w:t>
      </w:r>
    </w:p>
    <w:p w14:paraId="413B2B3C" w14:textId="0D3AAF98" w:rsidR="00205FE8" w:rsidRDefault="00205FE8" w:rsidP="00205FE8">
      <w:pPr>
        <w:pStyle w:val="Heading2"/>
      </w:pPr>
      <w:r>
        <w:t>2.3</w:t>
      </w:r>
      <w:r>
        <w:tab/>
        <w:t>Scenarios</w:t>
      </w:r>
    </w:p>
    <w:p w14:paraId="1F6F1796" w14:textId="0568C393" w:rsidR="00205FE8" w:rsidRDefault="00205FE8" w:rsidP="00205FE8">
      <w:r>
        <w:t>In the LS, RAN2 lists 4 scenarios that were assumed enabled in Rel.16. RAN2 asks also, if RAN3 sees any other scenario where handling of CHO with MR-DC would be needed. As discussed above, it is clear that the scenarios 1-3 shall be considered also with multiple target nodes, possibly sharing the same target SN. However, it does not seem that any altogether new scenario shall be addressed.</w:t>
      </w:r>
    </w:p>
    <w:p w14:paraId="1F23A42A" w14:textId="351874E9" w:rsidR="00205FE8" w:rsidRPr="00205FE8" w:rsidRDefault="00205FE8" w:rsidP="00205FE8">
      <w:pPr>
        <w:rPr>
          <w:b/>
          <w:bCs/>
        </w:rPr>
      </w:pPr>
      <w:r w:rsidRPr="00205FE8">
        <w:rPr>
          <w:b/>
          <w:bCs/>
        </w:rPr>
        <w:t>Proposal 6: RAN3 shall inform RAN2 that the listed scenarios must be considered also when multiple preparation is used, but no altogether new scenario has been identified.</w:t>
      </w:r>
    </w:p>
    <w:p w14:paraId="28E42E52" w14:textId="77777777" w:rsidR="000F16C4" w:rsidRPr="000665EA" w:rsidRDefault="00CD2620" w:rsidP="00E00CEF">
      <w:pPr>
        <w:pStyle w:val="Heading1"/>
      </w:pPr>
      <w:r w:rsidRPr="000665EA">
        <w:t>3</w:t>
      </w:r>
      <w:r w:rsidR="000F16C4" w:rsidRPr="000665EA">
        <w:tab/>
      </w:r>
      <w:r w:rsidRPr="000665EA">
        <w:t>Conclusions</w:t>
      </w:r>
    </w:p>
    <w:p w14:paraId="1EDB01A3" w14:textId="5D375283" w:rsidR="002F4257" w:rsidRDefault="002F4257" w:rsidP="00D20DF3">
      <w:pPr>
        <w:jc w:val="both"/>
        <w:rPr>
          <w:bCs/>
        </w:rPr>
      </w:pPr>
      <w:r>
        <w:rPr>
          <w:bCs/>
        </w:rPr>
        <w:t xml:space="preserve">In this paper, </w:t>
      </w:r>
      <w:r w:rsidR="00AB1057">
        <w:rPr>
          <w:bCs/>
        </w:rPr>
        <w:t>we’ve analysed the impact of Rel.16 RAN2 decision that CHO shall be allowed to be executed with SCG configured. We’ve made following observations:</w:t>
      </w:r>
    </w:p>
    <w:p w14:paraId="231051A8" w14:textId="71470880" w:rsidR="00AB1057" w:rsidRPr="007270B3" w:rsidRDefault="00AB1057" w:rsidP="00FC728C">
      <w:pPr>
        <w:ind w:left="284"/>
        <w:rPr>
          <w:b/>
          <w:bCs/>
        </w:rPr>
      </w:pPr>
      <w:r w:rsidRPr="007270B3">
        <w:rPr>
          <w:b/>
          <w:bCs/>
        </w:rPr>
        <w:t xml:space="preserve">O1: The addition procedure related to the CHO is exactly the same as in case of a classic HO. Therefore, the SN can’t tell </w:t>
      </w:r>
      <w:r w:rsidR="003C4EEA">
        <w:rPr>
          <w:b/>
          <w:bCs/>
        </w:rPr>
        <w:t xml:space="preserve">a </w:t>
      </w:r>
      <w:r w:rsidRPr="007270B3">
        <w:rPr>
          <w:b/>
          <w:bCs/>
        </w:rPr>
        <w:t>CHO-related addition from an addition related to a classic HO.</w:t>
      </w:r>
    </w:p>
    <w:p w14:paraId="441950E1" w14:textId="1187B204" w:rsidR="00AB1057" w:rsidRPr="006362DB" w:rsidRDefault="00AB1057" w:rsidP="00FC728C">
      <w:pPr>
        <w:ind w:left="284"/>
        <w:rPr>
          <w:b/>
          <w:bCs/>
        </w:rPr>
      </w:pPr>
      <w:r w:rsidRPr="006362DB">
        <w:rPr>
          <w:b/>
          <w:bCs/>
        </w:rPr>
        <w:t>O2: All of the special features of CHO that were addressed with the signalling are equally applicable to SCG side.</w:t>
      </w:r>
    </w:p>
    <w:p w14:paraId="1A40A015" w14:textId="1DC50039" w:rsidR="00AB1057" w:rsidRPr="006D2CB6" w:rsidRDefault="00AB1057" w:rsidP="00FC728C">
      <w:pPr>
        <w:ind w:left="284"/>
        <w:rPr>
          <w:b/>
          <w:bCs/>
        </w:rPr>
      </w:pPr>
      <w:r w:rsidRPr="006D2CB6">
        <w:rPr>
          <w:b/>
          <w:bCs/>
        </w:rPr>
        <w:t>O3: Lack of any special handling of CHO-related Addition may, depending on the implementation, block the CHO on the MCG side, too!</w:t>
      </w:r>
    </w:p>
    <w:p w14:paraId="2E655AEF" w14:textId="3C97794D" w:rsidR="00AB1057" w:rsidRDefault="00AB1057" w:rsidP="00D20DF3">
      <w:pPr>
        <w:jc w:val="both"/>
        <w:rPr>
          <w:bCs/>
        </w:rPr>
      </w:pPr>
      <w:r>
        <w:rPr>
          <w:bCs/>
        </w:rPr>
        <w:t>Based on them, we make following propo</w:t>
      </w:r>
      <w:r w:rsidR="000B5857">
        <w:rPr>
          <w:bCs/>
        </w:rPr>
        <w:t>s</w:t>
      </w:r>
      <w:r>
        <w:rPr>
          <w:bCs/>
        </w:rPr>
        <w:t>als:</w:t>
      </w:r>
    </w:p>
    <w:p w14:paraId="44991A28" w14:textId="29A64A19" w:rsidR="00AB1057" w:rsidRPr="006D2CB6" w:rsidRDefault="00AB1057" w:rsidP="00FC728C">
      <w:pPr>
        <w:ind w:left="284"/>
        <w:rPr>
          <w:b/>
          <w:bCs/>
        </w:rPr>
      </w:pPr>
      <w:r w:rsidRPr="006D2CB6">
        <w:rPr>
          <w:b/>
          <w:bCs/>
        </w:rPr>
        <w:t>P1: RAN3 shall acknowledge that enabling the scenarios listed in the LS requires changes in RAN3 signalling. This means that RAN3 shall conclude that with the current signalling, CHO with MR-DC will not work.</w:t>
      </w:r>
    </w:p>
    <w:p w14:paraId="408D5755" w14:textId="6B756E2E" w:rsidR="00AB1057" w:rsidRPr="002E3EF1" w:rsidRDefault="00AB1057" w:rsidP="00FC728C">
      <w:pPr>
        <w:ind w:left="284"/>
        <w:rPr>
          <w:b/>
          <w:bCs/>
        </w:rPr>
      </w:pPr>
      <w:r w:rsidRPr="002E3EF1">
        <w:rPr>
          <w:b/>
          <w:bCs/>
        </w:rPr>
        <w:t>P2: RAN3 shall consider if the support for CHO with MR-DC in RAN3’s specification could be enabled yet in Rel.16.</w:t>
      </w:r>
    </w:p>
    <w:p w14:paraId="095C39D0" w14:textId="1310D765" w:rsidR="00AB1057" w:rsidRPr="00273C00" w:rsidRDefault="00AB1057" w:rsidP="00FC728C">
      <w:pPr>
        <w:ind w:left="284"/>
        <w:rPr>
          <w:b/>
          <w:bCs/>
        </w:rPr>
      </w:pPr>
      <w:r w:rsidRPr="00273C00">
        <w:rPr>
          <w:b/>
          <w:bCs/>
        </w:rPr>
        <w:t>P3: A flag is added in the Addition Request to indicate the addition is related to a conditional access. The flag shall be defined so that it can be reused for CPA in Rel.17.</w:t>
      </w:r>
    </w:p>
    <w:p w14:paraId="24F556B9" w14:textId="0823FAC3" w:rsidR="004D79C4" w:rsidRPr="00273C00" w:rsidRDefault="004D79C4" w:rsidP="00FC728C">
      <w:pPr>
        <w:ind w:left="284"/>
        <w:rPr>
          <w:b/>
          <w:bCs/>
        </w:rPr>
      </w:pPr>
      <w:r w:rsidRPr="00273C00">
        <w:rPr>
          <w:b/>
          <w:bCs/>
        </w:rPr>
        <w:t>P</w:t>
      </w:r>
      <w:r>
        <w:rPr>
          <w:b/>
          <w:bCs/>
        </w:rPr>
        <w:t>4</w:t>
      </w:r>
      <w:r w:rsidRPr="00273C00">
        <w:rPr>
          <w:b/>
          <w:bCs/>
        </w:rPr>
        <w:t xml:space="preserve">: </w:t>
      </w:r>
      <w:r>
        <w:rPr>
          <w:b/>
          <w:bCs/>
        </w:rPr>
        <w:t>The arrival probability is defined also for the Addition Request and the target MN is obliged to rely the information received from the source MN.</w:t>
      </w:r>
    </w:p>
    <w:p w14:paraId="3222A38D" w14:textId="72F374EE" w:rsidR="00AB1057" w:rsidRDefault="00AB1057" w:rsidP="00FC728C">
      <w:pPr>
        <w:ind w:left="284"/>
        <w:rPr>
          <w:b/>
          <w:bCs/>
        </w:rPr>
      </w:pPr>
      <w:r w:rsidRPr="00273C00">
        <w:rPr>
          <w:b/>
          <w:bCs/>
        </w:rPr>
        <w:t>P</w:t>
      </w:r>
      <w:r w:rsidR="004D79C4">
        <w:rPr>
          <w:b/>
          <w:bCs/>
        </w:rPr>
        <w:t>5</w:t>
      </w:r>
      <w:r w:rsidRPr="00273C00">
        <w:rPr>
          <w:b/>
          <w:bCs/>
        </w:rPr>
        <w:t>: RAN3 shall discuss which if the three options above is the best to enable the target SN to optimise resource allocation.</w:t>
      </w:r>
    </w:p>
    <w:p w14:paraId="00D9CF91" w14:textId="2C61E4E4" w:rsidR="00205FE8" w:rsidRPr="00273C00" w:rsidRDefault="00205FE8" w:rsidP="00FC728C">
      <w:pPr>
        <w:ind w:left="284"/>
        <w:rPr>
          <w:b/>
          <w:bCs/>
        </w:rPr>
      </w:pPr>
      <w:r w:rsidRPr="00205FE8">
        <w:rPr>
          <w:b/>
          <w:bCs/>
        </w:rPr>
        <w:t>P6: RAN3 shall inform RAN2 that the listed scenarios must be considered also when multiple preparation is used, but no altogether new scenario has been identified.</w:t>
      </w:r>
    </w:p>
    <w:p w14:paraId="21A337AF" w14:textId="1C4117DD" w:rsidR="002F4257" w:rsidRPr="000665EA" w:rsidRDefault="002F4257" w:rsidP="006A43F7">
      <w:pPr>
        <w:jc w:val="both"/>
        <w:rPr>
          <w:bCs/>
        </w:rPr>
      </w:pPr>
      <w:r>
        <w:rPr>
          <w:bCs/>
        </w:rPr>
        <w:t xml:space="preserve">The </w:t>
      </w:r>
      <w:r w:rsidR="00AB1057">
        <w:rPr>
          <w:bCs/>
        </w:rPr>
        <w:t xml:space="preserve">Xn and X2 </w:t>
      </w:r>
      <w:r>
        <w:rPr>
          <w:bCs/>
        </w:rPr>
        <w:t>TPs implementing the solution are proposed in [</w:t>
      </w:r>
      <w:r w:rsidR="00F92C71">
        <w:rPr>
          <w:bCs/>
        </w:rPr>
        <w:t>2</w:t>
      </w:r>
      <w:r>
        <w:rPr>
          <w:bCs/>
        </w:rPr>
        <w:t>] and [</w:t>
      </w:r>
      <w:r w:rsidR="00F92C71">
        <w:rPr>
          <w:bCs/>
        </w:rPr>
        <w:t>3</w:t>
      </w:r>
      <w:r>
        <w:rPr>
          <w:bCs/>
        </w:rPr>
        <w:t>]</w:t>
      </w:r>
      <w:r w:rsidR="00AB1057">
        <w:rPr>
          <w:bCs/>
        </w:rPr>
        <w:t>, respectively</w:t>
      </w:r>
      <w:r>
        <w:rPr>
          <w:bCs/>
        </w:rPr>
        <w:t>.</w:t>
      </w:r>
      <w:r w:rsidR="00AB1057">
        <w:rPr>
          <w:bCs/>
        </w:rPr>
        <w:t xml:space="preserve"> </w:t>
      </w:r>
      <w:r w:rsidR="00F92C71">
        <w:rPr>
          <w:bCs/>
        </w:rPr>
        <w:t>A CR for F1AP is proposed in [4].</w:t>
      </w:r>
      <w:r w:rsidR="00F259CF">
        <w:rPr>
          <w:bCs/>
        </w:rPr>
        <w:t xml:space="preserve"> A draft of the response LS is proposed in [5].</w:t>
      </w:r>
    </w:p>
    <w:p w14:paraId="483F8717" w14:textId="77777777" w:rsidR="00403B9B" w:rsidRPr="000665EA" w:rsidRDefault="00403B9B" w:rsidP="00403B9B">
      <w:pPr>
        <w:pStyle w:val="Heading1"/>
      </w:pPr>
      <w:r w:rsidRPr="000665EA">
        <w:t>References</w:t>
      </w:r>
    </w:p>
    <w:p w14:paraId="65C3740D" w14:textId="24FEA7C5" w:rsidR="002F4257" w:rsidRDefault="001B05EF" w:rsidP="008A3464">
      <w:pPr>
        <w:numPr>
          <w:ilvl w:val="0"/>
          <w:numId w:val="4"/>
        </w:numPr>
        <w:overflowPunct w:val="0"/>
        <w:autoSpaceDE w:val="0"/>
        <w:autoSpaceDN w:val="0"/>
        <w:adjustRightInd w:val="0"/>
        <w:textAlignment w:val="baseline"/>
      </w:pPr>
      <w:r>
        <w:t>R2-2104348, RAN2 #113-bis</w:t>
      </w:r>
    </w:p>
    <w:p w14:paraId="5877010A" w14:textId="798D39ED" w:rsidR="009D38BF" w:rsidRPr="000665EA" w:rsidRDefault="009D38BF" w:rsidP="008A3464">
      <w:pPr>
        <w:numPr>
          <w:ilvl w:val="0"/>
          <w:numId w:val="4"/>
        </w:numPr>
        <w:overflowPunct w:val="0"/>
        <w:autoSpaceDE w:val="0"/>
        <w:autoSpaceDN w:val="0"/>
        <w:adjustRightInd w:val="0"/>
        <w:textAlignment w:val="baseline"/>
      </w:pPr>
      <w:r>
        <w:t>R3-21</w:t>
      </w:r>
      <w:r w:rsidR="00F259CF">
        <w:t>1518</w:t>
      </w:r>
      <w:r>
        <w:t>, RAN3 #112</w:t>
      </w:r>
    </w:p>
    <w:p w14:paraId="4E382F24" w14:textId="7256BEF4" w:rsidR="009D38BF" w:rsidRPr="000665EA" w:rsidRDefault="009D38BF" w:rsidP="009D38BF">
      <w:pPr>
        <w:numPr>
          <w:ilvl w:val="0"/>
          <w:numId w:val="4"/>
        </w:numPr>
        <w:overflowPunct w:val="0"/>
        <w:autoSpaceDE w:val="0"/>
        <w:autoSpaceDN w:val="0"/>
        <w:adjustRightInd w:val="0"/>
        <w:textAlignment w:val="baseline"/>
      </w:pPr>
      <w:r>
        <w:t>R3-21</w:t>
      </w:r>
      <w:r w:rsidR="00F259CF">
        <w:t>1519</w:t>
      </w:r>
      <w:r>
        <w:t>, RAN3 #112</w:t>
      </w:r>
    </w:p>
    <w:p w14:paraId="4C7590CF" w14:textId="083D2F3D" w:rsidR="009D38BF" w:rsidRDefault="009D38BF" w:rsidP="009D38BF">
      <w:pPr>
        <w:numPr>
          <w:ilvl w:val="0"/>
          <w:numId w:val="4"/>
        </w:numPr>
        <w:overflowPunct w:val="0"/>
        <w:autoSpaceDE w:val="0"/>
        <w:autoSpaceDN w:val="0"/>
        <w:adjustRightInd w:val="0"/>
        <w:textAlignment w:val="baseline"/>
      </w:pPr>
      <w:r>
        <w:t>R3-21</w:t>
      </w:r>
      <w:r w:rsidR="00F259CF">
        <w:t>1520</w:t>
      </w:r>
      <w:r>
        <w:t>, RAN3 #112</w:t>
      </w:r>
    </w:p>
    <w:p w14:paraId="2E49E23F" w14:textId="185D8AC3" w:rsidR="00F259CF" w:rsidRPr="000665EA" w:rsidRDefault="00F259CF" w:rsidP="009D38BF">
      <w:pPr>
        <w:numPr>
          <w:ilvl w:val="0"/>
          <w:numId w:val="4"/>
        </w:numPr>
        <w:overflowPunct w:val="0"/>
        <w:autoSpaceDE w:val="0"/>
        <w:autoSpaceDN w:val="0"/>
        <w:adjustRightInd w:val="0"/>
        <w:textAlignment w:val="baseline"/>
      </w:pPr>
      <w:r>
        <w:t>R3-211521, RAN3 #112</w:t>
      </w:r>
    </w:p>
    <w:p w14:paraId="01293442" w14:textId="77777777" w:rsidR="0022219E" w:rsidRPr="000665EA" w:rsidRDefault="0022219E" w:rsidP="0022219E">
      <w:pPr>
        <w:overflowPunct w:val="0"/>
        <w:autoSpaceDE w:val="0"/>
        <w:autoSpaceDN w:val="0"/>
        <w:adjustRightInd w:val="0"/>
        <w:textAlignment w:val="baseline"/>
      </w:pPr>
    </w:p>
    <w:sectPr w:rsidR="0022219E"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32B008" w14:textId="77777777" w:rsidR="000A7649" w:rsidRDefault="000A7649">
      <w:r>
        <w:separator/>
      </w:r>
    </w:p>
  </w:endnote>
  <w:endnote w:type="continuationSeparator" w:id="0">
    <w:p w14:paraId="158F2DB0" w14:textId="77777777" w:rsidR="000A7649" w:rsidRDefault="000A7649">
      <w:r>
        <w:continuationSeparator/>
      </w:r>
    </w:p>
  </w:endnote>
  <w:endnote w:type="continuationNotice" w:id="1">
    <w:p w14:paraId="7BF19716" w14:textId="77777777" w:rsidR="000A7649" w:rsidRDefault="000A76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0465B3" w14:textId="77777777" w:rsidR="000A7649" w:rsidRDefault="000A7649">
      <w:r>
        <w:separator/>
      </w:r>
    </w:p>
  </w:footnote>
  <w:footnote w:type="continuationSeparator" w:id="0">
    <w:p w14:paraId="147AC97C" w14:textId="77777777" w:rsidR="000A7649" w:rsidRDefault="000A7649">
      <w:r>
        <w:continuationSeparator/>
      </w:r>
    </w:p>
  </w:footnote>
  <w:footnote w:type="continuationNotice" w:id="1">
    <w:p w14:paraId="4C065ED5" w14:textId="77777777" w:rsidR="000A7649" w:rsidRDefault="000A76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0E1A22A4"/>
    <w:multiLevelType w:val="hybridMultilevel"/>
    <w:tmpl w:val="69F671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0135E6F"/>
    <w:multiLevelType w:val="hybridMultilevel"/>
    <w:tmpl w:val="D3501D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7"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9"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4DDA7A9E"/>
    <w:multiLevelType w:val="hybridMultilevel"/>
    <w:tmpl w:val="E75C62D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45925AE"/>
    <w:multiLevelType w:val="hybridMultilevel"/>
    <w:tmpl w:val="30CA04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4"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1"/>
  </w:num>
  <w:num w:numId="2">
    <w:abstractNumId w:val="33"/>
  </w:num>
  <w:num w:numId="3">
    <w:abstractNumId w:val="16"/>
  </w:num>
  <w:num w:numId="4">
    <w:abstractNumId w:val="9"/>
  </w:num>
  <w:num w:numId="5">
    <w:abstractNumId w:val="10"/>
  </w:num>
  <w:num w:numId="6">
    <w:abstractNumId w:val="41"/>
  </w:num>
  <w:num w:numId="7">
    <w:abstractNumId w:val="26"/>
  </w:num>
  <w:num w:numId="8">
    <w:abstractNumId w:val="17"/>
  </w:num>
  <w:num w:numId="9">
    <w:abstractNumId w:val="40"/>
  </w:num>
  <w:num w:numId="10">
    <w:abstractNumId w:val="25"/>
  </w:num>
  <w:num w:numId="11">
    <w:abstractNumId w:val="15"/>
  </w:num>
  <w:num w:numId="12">
    <w:abstractNumId w:val="35"/>
  </w:num>
  <w:num w:numId="13">
    <w:abstractNumId w:val="36"/>
  </w:num>
  <w:num w:numId="14">
    <w:abstractNumId w:val="34"/>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20"/>
  </w:num>
  <w:num w:numId="25">
    <w:abstractNumId w:val="28"/>
  </w:num>
  <w:num w:numId="26">
    <w:abstractNumId w:val="18"/>
  </w:num>
  <w:num w:numId="27">
    <w:abstractNumId w:val="22"/>
  </w:num>
  <w:num w:numId="28">
    <w:abstractNumId w:val="38"/>
  </w:num>
  <w:num w:numId="29">
    <w:abstractNumId w:val="39"/>
  </w:num>
  <w:num w:numId="30">
    <w:abstractNumId w:val="27"/>
  </w:num>
  <w:num w:numId="31">
    <w:abstractNumId w:val="24"/>
  </w:num>
  <w:num w:numId="32">
    <w:abstractNumId w:val="19"/>
  </w:num>
  <w:num w:numId="33">
    <w:abstractNumId w:val="30"/>
  </w:num>
  <w:num w:numId="34">
    <w:abstractNumId w:val="14"/>
  </w:num>
  <w:num w:numId="35">
    <w:abstractNumId w:val="11"/>
  </w:num>
  <w:num w:numId="36">
    <w:abstractNumId w:val="37"/>
  </w:num>
  <w:num w:numId="37">
    <w:abstractNumId w:val="23"/>
  </w:num>
  <w:num w:numId="38">
    <w:abstractNumId w:val="31"/>
  </w:num>
  <w:num w:numId="39">
    <w:abstractNumId w:val="42"/>
  </w:num>
  <w:num w:numId="40">
    <w:abstractNumId w:val="12"/>
  </w:num>
  <w:num w:numId="41">
    <w:abstractNumId w:val="13"/>
  </w:num>
  <w:num w:numId="42">
    <w:abstractNumId w:val="32"/>
  </w:num>
  <w:num w:numId="43">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2862"/>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33C6"/>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A7649"/>
    <w:rsid w:val="000B07F1"/>
    <w:rsid w:val="000B1DBC"/>
    <w:rsid w:val="000B2EEB"/>
    <w:rsid w:val="000B4278"/>
    <w:rsid w:val="000B53A8"/>
    <w:rsid w:val="000B5857"/>
    <w:rsid w:val="000B7558"/>
    <w:rsid w:val="000B7BCF"/>
    <w:rsid w:val="000C00D3"/>
    <w:rsid w:val="000C1438"/>
    <w:rsid w:val="000C1CC1"/>
    <w:rsid w:val="000C2A2A"/>
    <w:rsid w:val="000C5C6A"/>
    <w:rsid w:val="000C5F50"/>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0E3E"/>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2564"/>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3CDC"/>
    <w:rsid w:val="00194CD0"/>
    <w:rsid w:val="0019505B"/>
    <w:rsid w:val="00195C59"/>
    <w:rsid w:val="00196B97"/>
    <w:rsid w:val="00197002"/>
    <w:rsid w:val="001A1B05"/>
    <w:rsid w:val="001A2F0F"/>
    <w:rsid w:val="001A445F"/>
    <w:rsid w:val="001A6676"/>
    <w:rsid w:val="001A68CF"/>
    <w:rsid w:val="001A7E3F"/>
    <w:rsid w:val="001B00BD"/>
    <w:rsid w:val="001B0179"/>
    <w:rsid w:val="001B05EF"/>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05FE8"/>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58DE"/>
    <w:rsid w:val="0025778B"/>
    <w:rsid w:val="00262D37"/>
    <w:rsid w:val="00264132"/>
    <w:rsid w:val="00265F20"/>
    <w:rsid w:val="00267F0B"/>
    <w:rsid w:val="00267F60"/>
    <w:rsid w:val="00273C0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3EF1"/>
    <w:rsid w:val="002E4FF6"/>
    <w:rsid w:val="002E57E8"/>
    <w:rsid w:val="002E66E8"/>
    <w:rsid w:val="002E6CDE"/>
    <w:rsid w:val="002F0C0B"/>
    <w:rsid w:val="002F0C28"/>
    <w:rsid w:val="002F0D22"/>
    <w:rsid w:val="002F1207"/>
    <w:rsid w:val="002F2360"/>
    <w:rsid w:val="002F2626"/>
    <w:rsid w:val="002F3A38"/>
    <w:rsid w:val="002F4257"/>
    <w:rsid w:val="002F59E9"/>
    <w:rsid w:val="00300E6F"/>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377F6"/>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1D50"/>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4EEA"/>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569C"/>
    <w:rsid w:val="00426E7A"/>
    <w:rsid w:val="0043223E"/>
    <w:rsid w:val="00433E79"/>
    <w:rsid w:val="004366C3"/>
    <w:rsid w:val="00437774"/>
    <w:rsid w:val="0044028F"/>
    <w:rsid w:val="004446E8"/>
    <w:rsid w:val="0044513F"/>
    <w:rsid w:val="0044578D"/>
    <w:rsid w:val="00446DBD"/>
    <w:rsid w:val="00450326"/>
    <w:rsid w:val="00450759"/>
    <w:rsid w:val="0045441A"/>
    <w:rsid w:val="00454E20"/>
    <w:rsid w:val="00455482"/>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80550"/>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D79C4"/>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5F7329"/>
    <w:rsid w:val="006025D4"/>
    <w:rsid w:val="006042FA"/>
    <w:rsid w:val="00604791"/>
    <w:rsid w:val="006051CC"/>
    <w:rsid w:val="00611566"/>
    <w:rsid w:val="0061490D"/>
    <w:rsid w:val="006158C6"/>
    <w:rsid w:val="00615CC3"/>
    <w:rsid w:val="00617799"/>
    <w:rsid w:val="00617C52"/>
    <w:rsid w:val="0062034B"/>
    <w:rsid w:val="006204D3"/>
    <w:rsid w:val="00622D61"/>
    <w:rsid w:val="00622E1A"/>
    <w:rsid w:val="00631B89"/>
    <w:rsid w:val="00631BA9"/>
    <w:rsid w:val="00634CE1"/>
    <w:rsid w:val="00636178"/>
    <w:rsid w:val="006362DB"/>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2CB6"/>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0B3"/>
    <w:rsid w:val="00727131"/>
    <w:rsid w:val="007308E7"/>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5BA8"/>
    <w:rsid w:val="00765E5A"/>
    <w:rsid w:val="007709F9"/>
    <w:rsid w:val="00772865"/>
    <w:rsid w:val="00772E0E"/>
    <w:rsid w:val="00774EDF"/>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3C8C"/>
    <w:rsid w:val="007B44AB"/>
    <w:rsid w:val="007B495F"/>
    <w:rsid w:val="007B61E7"/>
    <w:rsid w:val="007B68B7"/>
    <w:rsid w:val="007B6B71"/>
    <w:rsid w:val="007B7782"/>
    <w:rsid w:val="007C095F"/>
    <w:rsid w:val="007C5546"/>
    <w:rsid w:val="007C5A5D"/>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4245"/>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197"/>
    <w:rsid w:val="0090271F"/>
    <w:rsid w:val="00902F2C"/>
    <w:rsid w:val="00904A71"/>
    <w:rsid w:val="00910049"/>
    <w:rsid w:val="0091160B"/>
    <w:rsid w:val="00913BDE"/>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2E3E"/>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3A39"/>
    <w:rsid w:val="009B6C3A"/>
    <w:rsid w:val="009B7671"/>
    <w:rsid w:val="009C01DA"/>
    <w:rsid w:val="009C2009"/>
    <w:rsid w:val="009C2AB8"/>
    <w:rsid w:val="009C4014"/>
    <w:rsid w:val="009C55D0"/>
    <w:rsid w:val="009C55E8"/>
    <w:rsid w:val="009C5D10"/>
    <w:rsid w:val="009C67DB"/>
    <w:rsid w:val="009C7DAE"/>
    <w:rsid w:val="009D0FF6"/>
    <w:rsid w:val="009D30B7"/>
    <w:rsid w:val="009D38BF"/>
    <w:rsid w:val="009D73C0"/>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1EFA"/>
    <w:rsid w:val="00A2233C"/>
    <w:rsid w:val="00A23159"/>
    <w:rsid w:val="00A23987"/>
    <w:rsid w:val="00A2408B"/>
    <w:rsid w:val="00A245F3"/>
    <w:rsid w:val="00A26B6E"/>
    <w:rsid w:val="00A26C86"/>
    <w:rsid w:val="00A27950"/>
    <w:rsid w:val="00A30EE8"/>
    <w:rsid w:val="00A319AA"/>
    <w:rsid w:val="00A32BB7"/>
    <w:rsid w:val="00A33330"/>
    <w:rsid w:val="00A34DD9"/>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86176"/>
    <w:rsid w:val="00A90B53"/>
    <w:rsid w:val="00A92977"/>
    <w:rsid w:val="00A95D85"/>
    <w:rsid w:val="00A95EC3"/>
    <w:rsid w:val="00A96374"/>
    <w:rsid w:val="00A9671C"/>
    <w:rsid w:val="00AA0C38"/>
    <w:rsid w:val="00AA0F95"/>
    <w:rsid w:val="00AA2EC0"/>
    <w:rsid w:val="00AA4AF2"/>
    <w:rsid w:val="00AA4E8F"/>
    <w:rsid w:val="00AA53C6"/>
    <w:rsid w:val="00AB0EE8"/>
    <w:rsid w:val="00AB1057"/>
    <w:rsid w:val="00AB14C4"/>
    <w:rsid w:val="00AB30AE"/>
    <w:rsid w:val="00AB3B76"/>
    <w:rsid w:val="00AB43B1"/>
    <w:rsid w:val="00AB7904"/>
    <w:rsid w:val="00AC01D1"/>
    <w:rsid w:val="00AC205B"/>
    <w:rsid w:val="00AC2C87"/>
    <w:rsid w:val="00AC30E3"/>
    <w:rsid w:val="00AC39D1"/>
    <w:rsid w:val="00AC4E7E"/>
    <w:rsid w:val="00AC773F"/>
    <w:rsid w:val="00AD0509"/>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819"/>
    <w:rsid w:val="00B836B3"/>
    <w:rsid w:val="00B92E27"/>
    <w:rsid w:val="00B931D0"/>
    <w:rsid w:val="00B94EC5"/>
    <w:rsid w:val="00B95C0E"/>
    <w:rsid w:val="00BA0F1F"/>
    <w:rsid w:val="00BA2519"/>
    <w:rsid w:val="00BA4DBE"/>
    <w:rsid w:val="00BA79DD"/>
    <w:rsid w:val="00BB05BD"/>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54C14"/>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0C8"/>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06A"/>
    <w:rsid w:val="00CC122B"/>
    <w:rsid w:val="00CC2CC8"/>
    <w:rsid w:val="00CC44EF"/>
    <w:rsid w:val="00CC4DEA"/>
    <w:rsid w:val="00CC6CA5"/>
    <w:rsid w:val="00CD0E51"/>
    <w:rsid w:val="00CD11AE"/>
    <w:rsid w:val="00CD1E00"/>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16C4"/>
    <w:rsid w:val="00D53116"/>
    <w:rsid w:val="00D537F6"/>
    <w:rsid w:val="00D55066"/>
    <w:rsid w:val="00D572DA"/>
    <w:rsid w:val="00D62561"/>
    <w:rsid w:val="00D62C0A"/>
    <w:rsid w:val="00D638EF"/>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4723"/>
    <w:rsid w:val="00F16632"/>
    <w:rsid w:val="00F17F82"/>
    <w:rsid w:val="00F2026E"/>
    <w:rsid w:val="00F21F3E"/>
    <w:rsid w:val="00F2210A"/>
    <w:rsid w:val="00F22463"/>
    <w:rsid w:val="00F23E13"/>
    <w:rsid w:val="00F24153"/>
    <w:rsid w:val="00F259CF"/>
    <w:rsid w:val="00F31A73"/>
    <w:rsid w:val="00F36DA6"/>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71"/>
    <w:rsid w:val="00F92CEA"/>
    <w:rsid w:val="00F92F13"/>
    <w:rsid w:val="00F95682"/>
    <w:rsid w:val="00F967C9"/>
    <w:rsid w:val="00F968CA"/>
    <w:rsid w:val="00F96BD8"/>
    <w:rsid w:val="00F97736"/>
    <w:rsid w:val="00FA0BC3"/>
    <w:rsid w:val="00FA1266"/>
    <w:rsid w:val="00FA17D9"/>
    <w:rsid w:val="00FA1E98"/>
    <w:rsid w:val="00FA437F"/>
    <w:rsid w:val="00FA4A45"/>
    <w:rsid w:val="00FA755C"/>
    <w:rsid w:val="00FB1B54"/>
    <w:rsid w:val="00FB2B6A"/>
    <w:rsid w:val="00FB4B7E"/>
    <w:rsid w:val="00FB7070"/>
    <w:rsid w:val="00FC1192"/>
    <w:rsid w:val="00FC144E"/>
    <w:rsid w:val="00FC1A80"/>
    <w:rsid w:val="00FC4C02"/>
    <w:rsid w:val="00FC526A"/>
    <w:rsid w:val="00FC5FE8"/>
    <w:rsid w:val="00FC69E4"/>
    <w:rsid w:val="00FC728C"/>
    <w:rsid w:val="00FD3586"/>
    <w:rsid w:val="00FD4DE9"/>
    <w:rsid w:val="00FD5055"/>
    <w:rsid w:val="00FD6B00"/>
    <w:rsid w:val="00FE23D8"/>
    <w:rsid w:val="00FE2AB4"/>
    <w:rsid w:val="00FE3864"/>
    <w:rsid w:val="00FE40AD"/>
    <w:rsid w:val="00FE6F9D"/>
    <w:rsid w:val="00FE724C"/>
    <w:rsid w:val="00FE7EAE"/>
    <w:rsid w:val="00FF158F"/>
    <w:rsid w:val="00FF1CA5"/>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9C4"/>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2.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4.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5.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6.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9F02B880-7F56-467A-A3BA-ABEAE76EFF4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4</Pages>
  <Words>1436</Words>
  <Characters>8187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Solution for handling of the SCG UE history information</vt:lpstr>
    </vt:vector>
  </TitlesOfParts>
  <Company>Nokia, Nokia Shanghai Bell</Company>
  <LinksUpToDate>false</LinksUpToDate>
  <CharactersWithSpaces>9604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possible impacts of a CHO with MR-DC operation</dc:title>
  <dc:subject>3GPP RAN3 #112-e</dc:subject>
  <dc:creator>Benoist Sébire</dc:creator>
  <cp:keywords>&lt;keyword[, keyword, ]&gt;</cp:keywords>
  <dc:description/>
  <cp:lastModifiedBy>Nokia</cp:lastModifiedBy>
  <cp:revision>20</cp:revision>
  <cp:lastPrinted>2019-03-27T07:16:00Z</cp:lastPrinted>
  <dcterms:created xsi:type="dcterms:W3CDTF">2021-05-05T08:06:00Z</dcterms:created>
  <dcterms:modified xsi:type="dcterms:W3CDTF">2021-05-06T15:31:00Z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